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F1B" w:rsidRPr="007C1440" w:rsidRDefault="00FE6B2E" w:rsidP="00FE6B2E">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00" w:lineRule="atLeast"/>
        <w:jc w:val="both"/>
        <w:rPr>
          <w:rFonts w:ascii="Lucida Sans" w:hAnsi="Lucida Sans"/>
          <w:b/>
          <w:color w:val="222244"/>
        </w:rPr>
      </w:pPr>
      <w:bookmarkStart w:id="0" w:name="_GoBack"/>
      <w:bookmarkEnd w:id="0"/>
      <w:r w:rsidRPr="007C1440">
        <w:rPr>
          <w:rFonts w:ascii="Lucida Sans" w:hAnsi="Lucida Sans"/>
          <w:b/>
          <w:color w:val="222244"/>
        </w:rPr>
        <w:t>ALEGACIONES A LA PROPUESTA DE MASTER</w:t>
      </w:r>
      <w:r w:rsidRPr="007C1440">
        <w:rPr>
          <w:rStyle w:val="apple-converted-space"/>
          <w:rFonts w:ascii="Lucida Sans" w:hAnsi="Lucida Sans"/>
          <w:b/>
          <w:color w:val="222222"/>
          <w:shd w:val="clear" w:color="auto" w:fill="FFFFFF"/>
        </w:rPr>
        <w:t> </w:t>
      </w:r>
      <w:r w:rsidRPr="007C1440">
        <w:rPr>
          <w:rFonts w:ascii="Lucida Sans" w:hAnsi="Lucida Sans"/>
          <w:b/>
          <w:color w:val="222222"/>
          <w:shd w:val="clear" w:color="auto" w:fill="FFFFFF"/>
        </w:rPr>
        <w:t>UNIVERSITARIO EN MEDIACIÓN</w:t>
      </w:r>
      <w:r w:rsidRPr="007C1440">
        <w:rPr>
          <w:rStyle w:val="apple-converted-space"/>
          <w:rFonts w:ascii="Lucida Sans" w:hAnsi="Lucida Sans"/>
          <w:b/>
          <w:color w:val="222222"/>
          <w:shd w:val="clear" w:color="auto" w:fill="FFFFFF"/>
        </w:rPr>
        <w:t> </w:t>
      </w:r>
      <w:r w:rsidRPr="007C1440">
        <w:rPr>
          <w:rFonts w:ascii="Lucida Sans" w:hAnsi="Lucida Sans"/>
          <w:b/>
          <w:color w:val="222222"/>
          <w:shd w:val="clear" w:color="auto" w:fill="FFFFFF"/>
        </w:rPr>
        <w:t>POR LA UNIVERSIDAD DE CÁDIZ (FACULTAD DE CIENCIAS DEL TRABAJO), PRESENTADAS POR LA DRA. Mª JOSÉ RODRÍGUEZ MESA, PROFESORA TITULAR DE DERECHO PENAL DE LA UNIVERSIDAD DE CÁDIZ</w:t>
      </w:r>
      <w:r w:rsidR="00776F19">
        <w:rPr>
          <w:rFonts w:ascii="Lucida Sans" w:hAnsi="Lucida Sans"/>
          <w:b/>
          <w:color w:val="222222"/>
          <w:shd w:val="clear" w:color="auto" w:fill="FFFFFF"/>
        </w:rPr>
        <w:t xml:space="preserve"> EN NOMBRE DEL ÁREA DE DERECHO PENAL DE LA UNIVERSIDAD DE CÁDIZ</w:t>
      </w:r>
      <w:r w:rsidRPr="007C1440">
        <w:rPr>
          <w:rFonts w:ascii="Lucida Sans" w:hAnsi="Lucida Sans"/>
          <w:b/>
          <w:color w:val="222222"/>
          <w:shd w:val="clear" w:color="auto" w:fill="FFFFFF"/>
        </w:rPr>
        <w:t xml:space="preserve">. </w:t>
      </w:r>
    </w:p>
    <w:p w:rsidR="00991F1B" w:rsidRDefault="00991F1B" w:rsidP="00991F1B">
      <w:pPr>
        <w:pStyle w:val="NormalWeb"/>
        <w:shd w:val="clear" w:color="auto" w:fill="FFFFFF"/>
        <w:spacing w:before="0" w:beforeAutospacing="0" w:after="0" w:afterAutospacing="0" w:line="300" w:lineRule="atLeast"/>
        <w:rPr>
          <w:rFonts w:ascii="Lucida Sans" w:hAnsi="Lucida Sans"/>
          <w:color w:val="222244"/>
          <w:sz w:val="18"/>
          <w:szCs w:val="18"/>
        </w:rPr>
      </w:pPr>
    </w:p>
    <w:p w:rsidR="00991F1B" w:rsidRDefault="00991F1B" w:rsidP="00991F1B">
      <w:pPr>
        <w:pStyle w:val="NormalWeb"/>
        <w:shd w:val="clear" w:color="auto" w:fill="FFFFFF"/>
        <w:spacing w:before="0" w:beforeAutospacing="0" w:after="0" w:afterAutospacing="0" w:line="300" w:lineRule="atLeast"/>
        <w:rPr>
          <w:rFonts w:ascii="Lucida Sans" w:hAnsi="Lucida Sans"/>
          <w:color w:val="222244"/>
          <w:sz w:val="18"/>
          <w:szCs w:val="18"/>
        </w:rPr>
      </w:pPr>
    </w:p>
    <w:p w:rsidR="00991F1B" w:rsidRPr="007C1440" w:rsidRDefault="00991F1B" w:rsidP="00201FC7">
      <w:pPr>
        <w:pStyle w:val="NormalWeb"/>
        <w:shd w:val="clear" w:color="auto" w:fill="FFFFFF"/>
        <w:spacing w:before="0" w:beforeAutospacing="0" w:after="0" w:afterAutospacing="0" w:line="300" w:lineRule="atLeast"/>
        <w:jc w:val="both"/>
        <w:rPr>
          <w:rFonts w:ascii="Lucida Sans" w:hAnsi="Lucida Sans"/>
          <w:color w:val="222244"/>
        </w:rPr>
      </w:pPr>
      <w:r w:rsidRPr="007C1440">
        <w:rPr>
          <w:rFonts w:ascii="Lucida Sans" w:hAnsi="Lucida Sans"/>
          <w:color w:val="222244"/>
        </w:rPr>
        <w:t xml:space="preserve">En la medida en que el objetivo </w:t>
      </w:r>
      <w:r w:rsidR="00201FC7" w:rsidRPr="007C1440">
        <w:rPr>
          <w:rFonts w:ascii="Lucida Sans" w:hAnsi="Lucida Sans"/>
          <w:color w:val="222244"/>
        </w:rPr>
        <w:t xml:space="preserve">principal </w:t>
      </w:r>
      <w:r w:rsidRPr="007C1440">
        <w:rPr>
          <w:rFonts w:ascii="Lucida Sans" w:hAnsi="Lucida Sans"/>
          <w:color w:val="222244"/>
        </w:rPr>
        <w:t xml:space="preserve">del Master es formar a profesionales </w:t>
      </w:r>
      <w:r w:rsidR="00201FC7" w:rsidRPr="007C1440">
        <w:rPr>
          <w:rFonts w:ascii="Lucida Sans" w:hAnsi="Lucida Sans"/>
          <w:color w:val="222244"/>
        </w:rPr>
        <w:t xml:space="preserve">en las competencias y habilidades propias de la Mediación como técnica alternativa de resolución de conflictos, es cuestionable la omisión del desarrollo de un área emergente de la mediación como es la mediación penal, en la que los trabajadores sociales y criminólogos (dos de los nuevos grados implantados por la Universidad de Cádiz) podrán  encontrar un importante ámbito profesional. </w:t>
      </w:r>
      <w:r w:rsidR="001130A7" w:rsidRPr="007C1440">
        <w:rPr>
          <w:rFonts w:ascii="Lucida Sans" w:hAnsi="Lucida Sans"/>
          <w:color w:val="222244"/>
        </w:rPr>
        <w:t xml:space="preserve">En este sentido es de destacar como son ya varias las Universidades españolas (públicas y privadas) que ante las perspectivas profesionales de este ámbito están ofreciendo Master específicos en Mediación Penal. </w:t>
      </w: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p>
    <w:p w:rsidR="00991F1B" w:rsidRPr="007C1440" w:rsidRDefault="00991F1B" w:rsidP="00201FC7">
      <w:pPr>
        <w:pStyle w:val="NormalWeb"/>
        <w:shd w:val="clear" w:color="auto" w:fill="FFFFFF"/>
        <w:spacing w:before="0" w:beforeAutospacing="0" w:after="0" w:afterAutospacing="0" w:line="300" w:lineRule="atLeast"/>
        <w:jc w:val="both"/>
        <w:rPr>
          <w:rFonts w:ascii="Lucida Sans" w:hAnsi="Lucida Sans"/>
          <w:color w:val="222244"/>
        </w:rPr>
      </w:pPr>
      <w:r w:rsidRPr="007C1440">
        <w:rPr>
          <w:rFonts w:ascii="Lucida Sans" w:hAnsi="Lucida Sans"/>
          <w:color w:val="222244"/>
        </w:rPr>
        <w:t>Desde principios de la década de los ochenta surgen en Europa diversas iniciativas de justicia restaurativa bajo la forma de mediación, que partieron del Consejo de Europa, y posteriormente de la Unión Europea. La Decisión Marco del Consejo de la Unión Europea de 15 de marzo (2001/220/JAI), relativa al estatuto de la víctima en el proceso penal declara que “</w:t>
      </w:r>
      <w:r w:rsidRPr="007C1440">
        <w:rPr>
          <w:rFonts w:ascii="Lucida Sans" w:hAnsi="Lucida Sans"/>
          <w:bCs/>
          <w:i/>
          <w:iCs/>
          <w:color w:val="222244"/>
        </w:rPr>
        <w:t>los Estados miembros procurarán impulsar la mediación en las causas penales [...]. Velarán para que pueda tomarse en consideración todo acuerdo entre víctima e inculpado que se haya alcanzado con ocasión de la mediación</w:t>
      </w:r>
      <w:r w:rsidRPr="007C1440">
        <w:rPr>
          <w:rFonts w:ascii="Lucida Sans" w:hAnsi="Lucida Sans"/>
          <w:color w:val="222244"/>
        </w:rPr>
        <w:t>”.</w:t>
      </w: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p>
    <w:p w:rsidR="00F850DC" w:rsidRPr="007C1440" w:rsidRDefault="00201FC7" w:rsidP="00F850DC">
      <w:pPr>
        <w:pStyle w:val="NormalWeb"/>
        <w:shd w:val="clear" w:color="auto" w:fill="FFFFFF"/>
        <w:spacing w:line="300" w:lineRule="atLeast"/>
        <w:jc w:val="both"/>
        <w:rPr>
          <w:rFonts w:ascii="Lucida Sans" w:hAnsi="Lucida Sans"/>
          <w:color w:val="222244"/>
        </w:rPr>
      </w:pPr>
      <w:r w:rsidRPr="007C1440">
        <w:rPr>
          <w:rFonts w:ascii="Lucida Sans" w:hAnsi="Lucida Sans"/>
          <w:color w:val="222244"/>
        </w:rPr>
        <w:t>En España, </w:t>
      </w:r>
      <w:r w:rsidRPr="007C1440">
        <w:rPr>
          <w:rFonts w:ascii="Lucida Sans" w:hAnsi="Lucida Sans"/>
          <w:bCs/>
          <w:color w:val="222244"/>
        </w:rPr>
        <w:t>la Ley Orgánica 5/2000, de 12 de enero</w:t>
      </w:r>
      <w:r w:rsidRPr="007C1440">
        <w:rPr>
          <w:rFonts w:ascii="Lucida Sans" w:hAnsi="Lucida Sans"/>
          <w:color w:val="222244"/>
        </w:rPr>
        <w:t>, reguladora de la </w:t>
      </w:r>
      <w:r w:rsidRPr="007C1440">
        <w:rPr>
          <w:rFonts w:ascii="Lucida Sans" w:hAnsi="Lucida Sans"/>
          <w:bCs/>
          <w:color w:val="222244"/>
        </w:rPr>
        <w:t>Responsabilidad Penal</w:t>
      </w:r>
      <w:r w:rsidR="00F850DC" w:rsidRPr="007C1440">
        <w:rPr>
          <w:rFonts w:ascii="Lucida Sans" w:hAnsi="Lucida Sans"/>
          <w:bCs/>
          <w:color w:val="222244"/>
        </w:rPr>
        <w:t xml:space="preserve"> </w:t>
      </w:r>
      <w:r w:rsidRPr="007C1440">
        <w:rPr>
          <w:rFonts w:ascii="Lucida Sans" w:hAnsi="Lucida Sans"/>
          <w:bCs/>
          <w:color w:val="222244"/>
        </w:rPr>
        <w:t xml:space="preserve">de los Menores, </w:t>
      </w:r>
      <w:r w:rsidR="00F850DC" w:rsidRPr="007C1440">
        <w:rPr>
          <w:rFonts w:ascii="Lucida Sans" w:hAnsi="Lucida Sans"/>
          <w:color w:val="222244"/>
        </w:rPr>
        <w:t>contempla la mediación en el art. 19, en el que se considera el sobreseimiento del expediente por conciliación o reparación entre el menor y la víctima, en aquellos hechos en los que por falta de violencia o intimidación graves, y/o delitos menos graves o faltas, el menor se haya conciliado con la víctima o haya asumido el compromiso de reparar el daño causado a la víctima.</w:t>
      </w:r>
    </w:p>
    <w:p w:rsidR="00991F1B" w:rsidRPr="007C1440" w:rsidRDefault="00201FC7" w:rsidP="00201FC7">
      <w:pPr>
        <w:pStyle w:val="NormalWeb"/>
        <w:shd w:val="clear" w:color="auto" w:fill="FFFFFF"/>
        <w:spacing w:before="0" w:beforeAutospacing="0" w:after="0" w:afterAutospacing="0" w:line="300" w:lineRule="atLeast"/>
        <w:jc w:val="both"/>
        <w:rPr>
          <w:rFonts w:ascii="Lucida Sans" w:hAnsi="Lucida Sans"/>
          <w:color w:val="222244"/>
        </w:rPr>
      </w:pPr>
      <w:r w:rsidRPr="007C1440">
        <w:rPr>
          <w:rFonts w:ascii="Lucida Sans" w:hAnsi="Lucida Sans"/>
          <w:color w:val="222244"/>
        </w:rPr>
        <w:t>E</w:t>
      </w:r>
      <w:r w:rsidR="00F850DC" w:rsidRPr="007C1440">
        <w:rPr>
          <w:rFonts w:ascii="Lucida Sans" w:hAnsi="Lucida Sans"/>
          <w:color w:val="222244"/>
        </w:rPr>
        <w:t>n</w:t>
      </w:r>
      <w:r w:rsidRPr="007C1440">
        <w:rPr>
          <w:rFonts w:ascii="Lucida Sans" w:hAnsi="Lucida Sans"/>
          <w:color w:val="222244"/>
        </w:rPr>
        <w:t xml:space="preserve"> lo que se refiere a la delincuencia de adultos, </w:t>
      </w:r>
      <w:r w:rsidR="00F850DC" w:rsidRPr="007C1440">
        <w:rPr>
          <w:rFonts w:ascii="Lucida Sans" w:hAnsi="Lucida Sans"/>
          <w:color w:val="222244"/>
        </w:rPr>
        <w:t xml:space="preserve">la mediación aún no ha sido regulada, por lo que su situación viene dada por el voluntarismo del Consejo General del Poder Judicial, instando a los juzgados a poner en marcha proyectos piloto para la resolución alternativa de conflictos. En todo caso, </w:t>
      </w:r>
      <w:r w:rsidRPr="007C1440">
        <w:rPr>
          <w:rFonts w:ascii="Lucida Sans" w:hAnsi="Lucida Sans"/>
          <w:color w:val="222244"/>
        </w:rPr>
        <w:t>l</w:t>
      </w:r>
      <w:r w:rsidR="00991F1B" w:rsidRPr="007C1440">
        <w:rPr>
          <w:rFonts w:ascii="Lucida Sans" w:hAnsi="Lucida Sans"/>
          <w:color w:val="222244"/>
        </w:rPr>
        <w:t xml:space="preserve">a mediación penal ya figura en España en la Hoja de Ruta de la Modernización de la Justicia elaborada por el Consejo General del Poder Judicial (CGPJ) con el ánimo de reducir la </w:t>
      </w:r>
      <w:proofErr w:type="spellStart"/>
      <w:r w:rsidR="00991F1B" w:rsidRPr="007C1440">
        <w:rPr>
          <w:rFonts w:ascii="Lucida Sans" w:hAnsi="Lucida Sans"/>
          <w:color w:val="222244"/>
        </w:rPr>
        <w:t>litigiosidad</w:t>
      </w:r>
      <w:proofErr w:type="spellEnd"/>
      <w:r w:rsidR="00F850DC" w:rsidRPr="007C1440">
        <w:rPr>
          <w:rFonts w:ascii="Lucida Sans" w:hAnsi="Lucida Sans"/>
          <w:color w:val="222244"/>
        </w:rPr>
        <w:t>, y p</w:t>
      </w:r>
      <w:r w:rsidR="00991F1B" w:rsidRPr="007C1440">
        <w:rPr>
          <w:rFonts w:ascii="Lucida Sans" w:hAnsi="Lucida Sans"/>
          <w:color w:val="222244"/>
        </w:rPr>
        <w:t xml:space="preserve">or ahora, está implantada en España en cerca de cuarenta Juzgados </w:t>
      </w:r>
      <w:r w:rsidR="00991F1B" w:rsidRPr="007C1440">
        <w:rPr>
          <w:rFonts w:ascii="Lucida Sans" w:hAnsi="Lucida Sans"/>
          <w:color w:val="222244"/>
        </w:rPr>
        <w:lastRenderedPageBreak/>
        <w:t>correspondientes a Andalucía, Aragón, Castilla y León, Cataluña, Extremadura, Madrid, Navarra, Comunidad Valenciana, País Vasco y Galicia, según los últimos datos disponibles del CGPJ facilitados, en los que se refleja que el sesenta por ciento de los casos derivados al sistema de mediación se han podido ya iniciar en España.</w:t>
      </w:r>
      <w:r w:rsidR="00FE6B2E" w:rsidRPr="007C1440">
        <w:rPr>
          <w:rFonts w:ascii="Lucida Sans" w:hAnsi="Lucida Sans"/>
          <w:color w:val="222244"/>
        </w:rPr>
        <w:t xml:space="preserve"> En todo caso, el Anteproyecto  de Código Penal hace ya mención por primera vez al acuerdo de mediación con efectos en la suspensión y/o sustitución de la pena.</w:t>
      </w:r>
      <w:r w:rsidR="00EE7CE7" w:rsidRPr="007C1440">
        <w:rPr>
          <w:rFonts w:ascii="Lucida Sans" w:hAnsi="Lucida Sans"/>
          <w:color w:val="222244"/>
        </w:rPr>
        <w:t xml:space="preserve"> También en el ámbito penitenciario está cobrando un gran protagonismo la mediación.</w:t>
      </w: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r w:rsidRPr="007C1440">
        <w:rPr>
          <w:rFonts w:ascii="Lucida Sans" w:hAnsi="Lucida Sans"/>
          <w:color w:val="222244"/>
        </w:rPr>
        <w:t>La mediación penal se configura, pues, como un  </w:t>
      </w:r>
      <w:r w:rsidRPr="007C1440">
        <w:rPr>
          <w:rFonts w:ascii="Lucida Sans" w:hAnsi="Lucida Sans"/>
          <w:bCs/>
          <w:color w:val="222244"/>
        </w:rPr>
        <w:t>sistema alternativo de resolución de conflictos que da el protagonismo a las partes</w:t>
      </w:r>
      <w:r w:rsidRPr="007C1440">
        <w:rPr>
          <w:rFonts w:ascii="Lucida Sans" w:hAnsi="Lucida Sans"/>
          <w:color w:val="222244"/>
        </w:rPr>
        <w:t xml:space="preserve">, cuando se ha producido un delito o falta, promovido por el juzgado y realizado por un </w:t>
      </w:r>
      <w:r w:rsidRPr="007C1440">
        <w:rPr>
          <w:rFonts w:ascii="Lucida Sans" w:hAnsi="Lucida Sans"/>
          <w:b/>
          <w:color w:val="222244"/>
        </w:rPr>
        <w:t>equipo de mediación especializado</w:t>
      </w:r>
      <w:r w:rsidRPr="007C1440">
        <w:rPr>
          <w:rFonts w:ascii="Lucida Sans" w:hAnsi="Lucida Sans"/>
          <w:color w:val="222244"/>
        </w:rPr>
        <w:t>, que permite la restauración de los daños causados, cuyo objetivo es la consecución de acuerdos que satisfagan a las partes implicadas. </w:t>
      </w:r>
      <w:r w:rsidRPr="007C1440">
        <w:rPr>
          <w:rFonts w:ascii="Lucida Sans" w:hAnsi="Lucida Sans"/>
          <w:bCs/>
          <w:color w:val="222244"/>
        </w:rPr>
        <w:t>La mediación penal no sustituye la sentencia</w:t>
      </w:r>
      <w:r w:rsidRPr="007C1440">
        <w:rPr>
          <w:rFonts w:ascii="Lucida Sans" w:hAnsi="Lucida Sans"/>
          <w:color w:val="222244"/>
        </w:rPr>
        <w:t>, pero sí la incluye y con el acuerdo de todas las partes, (Titular del Juzgado, Ministerio Fiscal, Representantes legales y las propias partes) es acogida como esencia fundamental de la sentencia. Además, no se limita a la responsabilidad civil derivada del delito, sino que puede actuar como circunstancia atenuante (art. 21.5 CP) o incluso como causa de extinción de la responsabilidad penal a través del perdón del ofendido (artículo 130.5 CP).</w:t>
      </w: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p>
    <w:p w:rsidR="00F850DC" w:rsidRPr="007C1440" w:rsidRDefault="00F850DC" w:rsidP="00F850DC">
      <w:pPr>
        <w:pStyle w:val="NormalWeb"/>
        <w:shd w:val="clear" w:color="auto" w:fill="FFFFFF"/>
        <w:spacing w:line="300" w:lineRule="atLeast"/>
        <w:jc w:val="both"/>
        <w:rPr>
          <w:rFonts w:ascii="Lucida Sans" w:hAnsi="Lucida Sans"/>
          <w:color w:val="222244"/>
        </w:rPr>
      </w:pPr>
      <w:r w:rsidRPr="007C1440">
        <w:rPr>
          <w:rFonts w:ascii="Lucida Sans" w:hAnsi="Lucida Sans"/>
          <w:color w:val="222244"/>
        </w:rPr>
        <w:t xml:space="preserve">La otra esfera a tener en cuenta en el sistema penal es cuando los hechos se producen entre </w:t>
      </w:r>
      <w:r w:rsidRPr="007C1440">
        <w:rPr>
          <w:rFonts w:ascii="Lucida Sans" w:hAnsi="Lucida Sans"/>
          <w:b/>
          <w:bCs/>
          <w:color w:val="222244"/>
        </w:rPr>
        <w:t>personas mayores de edad</w:t>
      </w:r>
      <w:r w:rsidRPr="007C1440">
        <w:rPr>
          <w:rFonts w:ascii="Lucida Sans" w:hAnsi="Lucida Sans"/>
          <w:color w:val="222244"/>
        </w:rPr>
        <w:t>. Como ya hemos señalado, en este caso la mediación aún no ha sido regulada, por lo que su situación viene dada por el voluntarismo del Consejo General del Poder Judicial, instando a los juzgados a poner en marcha proyectos piloto para la resolución alternativa de conflictos.</w:t>
      </w: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r w:rsidRPr="007C1440">
        <w:rPr>
          <w:rFonts w:ascii="Lucida Sans" w:hAnsi="Lucida Sans"/>
          <w:color w:val="222244"/>
        </w:rPr>
        <w:t xml:space="preserve">Por todo ellos se solicita: </w:t>
      </w:r>
    </w:p>
    <w:p w:rsidR="00F850DC" w:rsidRPr="007C1440" w:rsidRDefault="00F850DC" w:rsidP="00201FC7">
      <w:pPr>
        <w:pStyle w:val="NormalWeb"/>
        <w:shd w:val="clear" w:color="auto" w:fill="FFFFFF"/>
        <w:spacing w:before="0" w:beforeAutospacing="0" w:after="0" w:afterAutospacing="0" w:line="300" w:lineRule="atLeast"/>
        <w:jc w:val="both"/>
        <w:rPr>
          <w:rFonts w:ascii="Lucida Sans" w:hAnsi="Lucida Sans"/>
          <w:color w:val="222244"/>
        </w:rPr>
      </w:pPr>
    </w:p>
    <w:p w:rsidR="00F850DC" w:rsidRPr="007C1440" w:rsidRDefault="00E924F6" w:rsidP="00201FC7">
      <w:pPr>
        <w:pStyle w:val="NormalWeb"/>
        <w:shd w:val="clear" w:color="auto" w:fill="FFFFFF"/>
        <w:spacing w:before="0" w:beforeAutospacing="0" w:after="0" w:afterAutospacing="0" w:line="300" w:lineRule="atLeast"/>
        <w:jc w:val="both"/>
        <w:rPr>
          <w:rFonts w:ascii="Lucida Sans" w:hAnsi="Lucida Sans" w:cs="Arial"/>
          <w:b/>
          <w:color w:val="222244"/>
        </w:rPr>
      </w:pPr>
      <w:r w:rsidRPr="007C1440">
        <w:rPr>
          <w:rFonts w:ascii="Lucida Sans" w:hAnsi="Lucida Sans"/>
          <w:b/>
          <w:color w:val="222244"/>
        </w:rPr>
        <w:t xml:space="preserve">1. Sustituir la redacción de las Competencias Específicas CE11, CE12, CE13 y CE14 por la siguiente: </w:t>
      </w:r>
    </w:p>
    <w:p w:rsidR="00E924F6" w:rsidRPr="007C1440" w:rsidRDefault="00E924F6" w:rsidP="00201FC7">
      <w:pPr>
        <w:pStyle w:val="NormalWeb"/>
        <w:shd w:val="clear" w:color="auto" w:fill="FFFFFF"/>
        <w:spacing w:before="0" w:beforeAutospacing="0" w:after="0" w:afterAutospacing="0" w:line="300" w:lineRule="atLeast"/>
        <w:jc w:val="both"/>
        <w:rPr>
          <w:rFonts w:ascii="Lucida Sans" w:hAnsi="Lucida Sans"/>
          <w:color w:val="222244"/>
        </w:rPr>
      </w:pPr>
    </w:p>
    <w:p w:rsidR="00E924F6" w:rsidRPr="007C1440" w:rsidRDefault="00E924F6" w:rsidP="00E924F6">
      <w:pPr>
        <w:pStyle w:val="Default"/>
        <w:jc w:val="both"/>
        <w:rPr>
          <w:rFonts w:ascii="Lucida Sans" w:hAnsi="Lucida Sans"/>
        </w:rPr>
      </w:pPr>
      <w:r w:rsidRPr="007C1440">
        <w:rPr>
          <w:rFonts w:ascii="Lucida Sans" w:hAnsi="Lucida Sans"/>
          <w:color w:val="222244"/>
        </w:rPr>
        <w:t xml:space="preserve">CE11: </w:t>
      </w:r>
      <w:r w:rsidRPr="007C1440">
        <w:rPr>
          <w:rFonts w:ascii="Lucida Sans" w:hAnsi="Lucida Sans"/>
        </w:rPr>
        <w:t xml:space="preserve">Capacidad para interpretar las normas del ordenamiento jurídico civil, mercantil y penal que regulan las materias susceptibles de mediación y aplicarlas para la resolución de conflictos </w:t>
      </w:r>
    </w:p>
    <w:p w:rsidR="00E924F6" w:rsidRPr="007C1440" w:rsidRDefault="00E924F6" w:rsidP="00201FC7">
      <w:pPr>
        <w:pStyle w:val="NormalWeb"/>
        <w:shd w:val="clear" w:color="auto" w:fill="FFFFFF"/>
        <w:spacing w:before="0" w:beforeAutospacing="0" w:after="0" w:afterAutospacing="0" w:line="300" w:lineRule="atLeast"/>
        <w:jc w:val="both"/>
        <w:rPr>
          <w:rFonts w:ascii="Lucida Sans" w:hAnsi="Lucida Sans"/>
          <w:color w:val="222244"/>
        </w:rPr>
      </w:pPr>
    </w:p>
    <w:p w:rsidR="00E924F6" w:rsidRPr="007C1440" w:rsidRDefault="00E924F6" w:rsidP="00E924F6">
      <w:pPr>
        <w:pStyle w:val="Default"/>
        <w:jc w:val="both"/>
        <w:rPr>
          <w:rFonts w:ascii="Lucida Sans" w:hAnsi="Lucida Sans"/>
        </w:rPr>
      </w:pPr>
      <w:r w:rsidRPr="007C1440">
        <w:rPr>
          <w:rFonts w:ascii="Lucida Sans" w:hAnsi="Lucida Sans"/>
          <w:color w:val="222244"/>
        </w:rPr>
        <w:t xml:space="preserve">CE12: </w:t>
      </w:r>
      <w:r w:rsidRPr="007C1440">
        <w:rPr>
          <w:rFonts w:ascii="Lucida Sans" w:hAnsi="Lucida Sans"/>
        </w:rPr>
        <w:t xml:space="preserve">Capacidad para diferenciar las materias que pueden ser objeto de mediación penal, civil y/o mercantil </w:t>
      </w:r>
    </w:p>
    <w:p w:rsidR="00E924F6" w:rsidRPr="007C1440" w:rsidRDefault="00E924F6" w:rsidP="00201FC7">
      <w:pPr>
        <w:pStyle w:val="NormalWeb"/>
        <w:shd w:val="clear" w:color="auto" w:fill="FFFFFF"/>
        <w:spacing w:before="0" w:beforeAutospacing="0" w:after="0" w:afterAutospacing="0" w:line="300" w:lineRule="atLeast"/>
        <w:jc w:val="both"/>
        <w:rPr>
          <w:rFonts w:ascii="Lucida Sans" w:hAnsi="Lucida Sans"/>
          <w:color w:val="222244"/>
        </w:rPr>
      </w:pPr>
    </w:p>
    <w:p w:rsidR="00E924F6" w:rsidRPr="007C1440" w:rsidRDefault="00E924F6" w:rsidP="00E924F6">
      <w:pPr>
        <w:pStyle w:val="Default"/>
        <w:jc w:val="both"/>
        <w:rPr>
          <w:rFonts w:ascii="Lucida Sans" w:hAnsi="Lucida Sans"/>
        </w:rPr>
      </w:pPr>
      <w:r w:rsidRPr="007C1440">
        <w:rPr>
          <w:rFonts w:ascii="Lucida Sans" w:hAnsi="Lucida Sans"/>
          <w:color w:val="222244"/>
        </w:rPr>
        <w:t xml:space="preserve">CE13: </w:t>
      </w:r>
      <w:r w:rsidRPr="007C1440">
        <w:rPr>
          <w:rFonts w:ascii="Lucida Sans" w:hAnsi="Lucida Sans"/>
        </w:rPr>
        <w:t>Capacidad para interpretar y aplicar las normas de nuestro ordenamiento jurídico dedicadas al proceso de mediación civil,  mercantil y penal</w:t>
      </w:r>
    </w:p>
    <w:p w:rsidR="00E924F6" w:rsidRPr="007C1440" w:rsidRDefault="00E924F6" w:rsidP="00201FC7">
      <w:pPr>
        <w:pStyle w:val="NormalWeb"/>
        <w:shd w:val="clear" w:color="auto" w:fill="FFFFFF"/>
        <w:spacing w:before="0" w:beforeAutospacing="0" w:after="0" w:afterAutospacing="0" w:line="300" w:lineRule="atLeast"/>
        <w:jc w:val="both"/>
        <w:rPr>
          <w:rFonts w:ascii="Lucida Sans" w:hAnsi="Lucida Sans"/>
          <w:color w:val="222244"/>
        </w:rPr>
      </w:pPr>
    </w:p>
    <w:p w:rsidR="00E924F6" w:rsidRPr="007C1440" w:rsidRDefault="00E924F6" w:rsidP="00E924F6">
      <w:pPr>
        <w:pStyle w:val="Default"/>
        <w:jc w:val="both"/>
        <w:rPr>
          <w:rFonts w:ascii="Lucida Sans" w:hAnsi="Lucida Sans"/>
        </w:rPr>
      </w:pPr>
      <w:r w:rsidRPr="007C1440">
        <w:rPr>
          <w:rFonts w:ascii="Lucida Sans" w:hAnsi="Lucida Sans"/>
          <w:color w:val="222244"/>
        </w:rPr>
        <w:t xml:space="preserve">CE14: </w:t>
      </w:r>
      <w:r w:rsidRPr="007C1440">
        <w:rPr>
          <w:rFonts w:ascii="Lucida Sans" w:hAnsi="Lucida Sans"/>
        </w:rPr>
        <w:t>Capacidad para redactar un acuerdo de mediación civil,  mercantil o penal</w:t>
      </w:r>
    </w:p>
    <w:p w:rsidR="00E924F6" w:rsidRPr="007C1440" w:rsidRDefault="00E924F6" w:rsidP="00201FC7">
      <w:pPr>
        <w:pStyle w:val="NormalWeb"/>
        <w:shd w:val="clear" w:color="auto" w:fill="FFFFFF"/>
        <w:spacing w:before="0" w:beforeAutospacing="0" w:after="0" w:afterAutospacing="0" w:line="300" w:lineRule="atLeast"/>
        <w:jc w:val="both"/>
        <w:rPr>
          <w:rFonts w:ascii="Lucida Sans" w:hAnsi="Lucida Sans"/>
          <w:color w:val="222244"/>
        </w:rPr>
      </w:pPr>
    </w:p>
    <w:p w:rsidR="008D3946" w:rsidRPr="007C1440" w:rsidRDefault="008D3946" w:rsidP="00201FC7">
      <w:pPr>
        <w:pStyle w:val="NormalWeb"/>
        <w:shd w:val="clear" w:color="auto" w:fill="FFFFFF"/>
        <w:spacing w:before="0" w:beforeAutospacing="0" w:after="0" w:afterAutospacing="0" w:line="300" w:lineRule="atLeast"/>
        <w:jc w:val="both"/>
        <w:rPr>
          <w:rFonts w:ascii="Lucida Sans" w:hAnsi="Lucida Sans"/>
          <w:b/>
          <w:color w:val="222244"/>
        </w:rPr>
      </w:pPr>
      <w:r w:rsidRPr="007C1440">
        <w:rPr>
          <w:rFonts w:ascii="Lucida Sans" w:hAnsi="Lucida Sans"/>
          <w:b/>
          <w:color w:val="222244"/>
        </w:rPr>
        <w:t xml:space="preserve">2. El cambio de denominación de módulo 3 pasando a denominarse: </w:t>
      </w:r>
    </w:p>
    <w:p w:rsidR="008D3946" w:rsidRPr="007C1440" w:rsidRDefault="008D3946" w:rsidP="00201FC7">
      <w:pPr>
        <w:pStyle w:val="NormalWeb"/>
        <w:shd w:val="clear" w:color="auto" w:fill="FFFFFF"/>
        <w:spacing w:before="0" w:beforeAutospacing="0" w:after="0" w:afterAutospacing="0" w:line="300" w:lineRule="atLeast"/>
        <w:jc w:val="both"/>
        <w:rPr>
          <w:rFonts w:ascii="Lucida Sans" w:hAnsi="Lucida Sans"/>
          <w:b/>
          <w:color w:val="222244"/>
        </w:rPr>
      </w:pPr>
    </w:p>
    <w:p w:rsidR="008D3946" w:rsidRPr="007C1440" w:rsidRDefault="008D3946" w:rsidP="00201FC7">
      <w:pPr>
        <w:pStyle w:val="NormalWeb"/>
        <w:shd w:val="clear" w:color="auto" w:fill="FFFFFF"/>
        <w:spacing w:before="0" w:beforeAutospacing="0" w:after="0" w:afterAutospacing="0" w:line="300" w:lineRule="atLeast"/>
        <w:jc w:val="both"/>
        <w:rPr>
          <w:rFonts w:ascii="Lucida Sans" w:hAnsi="Lucida Sans"/>
          <w:color w:val="222244"/>
        </w:rPr>
      </w:pPr>
      <w:r w:rsidRPr="007C1440">
        <w:rPr>
          <w:rFonts w:ascii="Lucida Sans" w:hAnsi="Lucida Sans"/>
          <w:color w:val="222244"/>
        </w:rPr>
        <w:t xml:space="preserve">Módulo 3: </w:t>
      </w:r>
      <w:r w:rsidR="001130A7" w:rsidRPr="007C1440">
        <w:rPr>
          <w:rFonts w:ascii="Lucida Sans" w:hAnsi="Lucida Sans"/>
          <w:color w:val="222244"/>
        </w:rPr>
        <w:t>Mediación Civil, Mercantil y Penal</w:t>
      </w:r>
    </w:p>
    <w:p w:rsidR="001130A7" w:rsidRPr="007C1440" w:rsidRDefault="001130A7" w:rsidP="00201FC7">
      <w:pPr>
        <w:pStyle w:val="NormalWeb"/>
        <w:shd w:val="clear" w:color="auto" w:fill="FFFFFF"/>
        <w:spacing w:before="0" w:beforeAutospacing="0" w:after="0" w:afterAutospacing="0" w:line="300" w:lineRule="atLeast"/>
        <w:jc w:val="both"/>
        <w:rPr>
          <w:rFonts w:ascii="Lucida Sans" w:hAnsi="Lucida Sans"/>
          <w:color w:val="222244"/>
        </w:rPr>
      </w:pPr>
    </w:p>
    <w:p w:rsidR="001130A7" w:rsidRPr="007C1440" w:rsidRDefault="008D3946" w:rsidP="00201FC7">
      <w:pPr>
        <w:pStyle w:val="NormalWeb"/>
        <w:shd w:val="clear" w:color="auto" w:fill="FFFFFF"/>
        <w:spacing w:before="0" w:beforeAutospacing="0" w:after="0" w:afterAutospacing="0" w:line="300" w:lineRule="atLeast"/>
        <w:jc w:val="both"/>
        <w:rPr>
          <w:rFonts w:ascii="Lucida Sans" w:hAnsi="Lucida Sans"/>
          <w:b/>
          <w:color w:val="222244"/>
        </w:rPr>
      </w:pPr>
      <w:r w:rsidRPr="007C1440">
        <w:rPr>
          <w:rFonts w:ascii="Lucida Sans" w:hAnsi="Lucida Sans"/>
          <w:b/>
          <w:color w:val="222244"/>
        </w:rPr>
        <w:t>3</w:t>
      </w:r>
      <w:r w:rsidR="00E924F6" w:rsidRPr="007C1440">
        <w:rPr>
          <w:rFonts w:ascii="Lucida Sans" w:hAnsi="Lucida Sans"/>
          <w:b/>
          <w:color w:val="222244"/>
        </w:rPr>
        <w:t xml:space="preserve">. </w:t>
      </w:r>
      <w:r w:rsidRPr="007C1440">
        <w:rPr>
          <w:rFonts w:ascii="Lucida Sans" w:hAnsi="Lucida Sans"/>
          <w:b/>
          <w:color w:val="222244"/>
        </w:rPr>
        <w:t xml:space="preserve">La introducción en el módulo 3 de la asignatura </w:t>
      </w:r>
      <w:r w:rsidR="001130A7" w:rsidRPr="007C1440">
        <w:rPr>
          <w:rFonts w:ascii="Lucida Sans" w:hAnsi="Lucida Sans"/>
          <w:b/>
          <w:color w:val="222244"/>
        </w:rPr>
        <w:t xml:space="preserve">3.4: </w:t>
      </w:r>
      <w:r w:rsidRPr="007C1440">
        <w:rPr>
          <w:rFonts w:ascii="Lucida Sans" w:hAnsi="Lucida Sans"/>
          <w:b/>
          <w:color w:val="222244"/>
        </w:rPr>
        <w:t xml:space="preserve">“Mediación en el ámbito </w:t>
      </w:r>
      <w:r w:rsidR="00BB3296" w:rsidRPr="007C1440">
        <w:rPr>
          <w:rFonts w:ascii="Lucida Sans" w:hAnsi="Lucida Sans"/>
          <w:b/>
          <w:color w:val="222244"/>
        </w:rPr>
        <w:t xml:space="preserve">del Derecho </w:t>
      </w:r>
      <w:r w:rsidRPr="007C1440">
        <w:rPr>
          <w:rFonts w:ascii="Lucida Sans" w:hAnsi="Lucida Sans"/>
          <w:b/>
          <w:color w:val="222244"/>
        </w:rPr>
        <w:t>Penal”</w:t>
      </w:r>
      <w:r w:rsidR="001130A7" w:rsidRPr="007C1440">
        <w:rPr>
          <w:rFonts w:ascii="Lucida Sans" w:hAnsi="Lucida Sans"/>
          <w:b/>
          <w:color w:val="222244"/>
        </w:rPr>
        <w:t xml:space="preserve">, con la siguiente ficha </w:t>
      </w:r>
    </w:p>
    <w:p w:rsidR="00F446EA" w:rsidRPr="007C1440" w:rsidRDefault="00F446EA" w:rsidP="00201FC7">
      <w:pPr>
        <w:jc w:val="both"/>
        <w:rPr>
          <w:rFonts w:ascii="Lucida Sans" w:hAnsi="Lucida Sans"/>
          <w:sz w:val="24"/>
          <w:szCs w:val="24"/>
        </w:rPr>
      </w:pPr>
    </w:p>
    <w:tbl>
      <w:tblPr>
        <w:tblStyle w:val="Tablaconcuadrcula"/>
        <w:tblW w:w="0" w:type="auto"/>
        <w:tblLook w:val="04A0" w:firstRow="1" w:lastRow="0" w:firstColumn="1" w:lastColumn="0" w:noHBand="0" w:noVBand="1"/>
      </w:tblPr>
      <w:tblGrid>
        <w:gridCol w:w="2161"/>
        <w:gridCol w:w="2161"/>
        <w:gridCol w:w="2161"/>
        <w:gridCol w:w="2161"/>
      </w:tblGrid>
      <w:tr w:rsidR="001130A7" w:rsidRPr="007C1440" w:rsidTr="001130A7">
        <w:tc>
          <w:tcPr>
            <w:tcW w:w="8644" w:type="dxa"/>
            <w:gridSpan w:val="4"/>
          </w:tcPr>
          <w:p w:rsidR="001130A7" w:rsidRPr="007C1440" w:rsidRDefault="00BB3296" w:rsidP="00BB3296">
            <w:pPr>
              <w:jc w:val="center"/>
              <w:rPr>
                <w:rFonts w:ascii="Lucida Sans" w:hAnsi="Lucida Sans"/>
                <w:b/>
                <w:sz w:val="24"/>
                <w:szCs w:val="24"/>
              </w:rPr>
            </w:pPr>
            <w:r w:rsidRPr="007C1440">
              <w:rPr>
                <w:rFonts w:ascii="Lucida Sans" w:hAnsi="Lucida Sans"/>
                <w:b/>
                <w:sz w:val="24"/>
                <w:szCs w:val="24"/>
              </w:rPr>
              <w:t>ASIGNATURA 3.4: MEDIACIÓN EN EL ÁMBITO DEL DERECHO PENAL</w:t>
            </w:r>
          </w:p>
        </w:tc>
      </w:tr>
      <w:tr w:rsidR="001D49E4" w:rsidRPr="007C1440" w:rsidTr="001D49E4">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CARÁCTER: </w:t>
            </w:r>
          </w:p>
        </w:tc>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Obligatoria </w:t>
            </w:r>
          </w:p>
        </w:tc>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IDIOMA DE IMPARTICIÓN: </w:t>
            </w:r>
          </w:p>
        </w:tc>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Español </w:t>
            </w:r>
          </w:p>
        </w:tc>
      </w:tr>
      <w:tr w:rsidR="001D49E4" w:rsidRPr="007C1440" w:rsidTr="001D49E4">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ECTS ASIGNATURA: </w:t>
            </w:r>
          </w:p>
        </w:tc>
        <w:tc>
          <w:tcPr>
            <w:tcW w:w="2161" w:type="dxa"/>
          </w:tcPr>
          <w:p w:rsidR="001D49E4" w:rsidRPr="007C1440" w:rsidRDefault="001D49E4">
            <w:pPr>
              <w:pStyle w:val="Default"/>
              <w:rPr>
                <w:rFonts w:ascii="Lucida Sans" w:hAnsi="Lucida Sans"/>
              </w:rPr>
            </w:pPr>
            <w:r w:rsidRPr="007C1440">
              <w:rPr>
                <w:rFonts w:ascii="Lucida Sans" w:hAnsi="Lucida Sans"/>
                <w:b/>
                <w:bCs/>
              </w:rPr>
              <w:t>3</w:t>
            </w:r>
          </w:p>
        </w:tc>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DESPLIEGUE TEMPORAL: </w:t>
            </w:r>
          </w:p>
        </w:tc>
        <w:tc>
          <w:tcPr>
            <w:tcW w:w="2161" w:type="dxa"/>
          </w:tcPr>
          <w:p w:rsidR="001D49E4" w:rsidRPr="007C1440" w:rsidRDefault="001D49E4">
            <w:pPr>
              <w:pStyle w:val="Default"/>
              <w:rPr>
                <w:rFonts w:ascii="Lucida Sans" w:hAnsi="Lucida Sans"/>
              </w:rPr>
            </w:pPr>
            <w:r w:rsidRPr="007C1440">
              <w:rPr>
                <w:rFonts w:ascii="Lucida Sans" w:hAnsi="Lucida Sans"/>
                <w:b/>
                <w:bCs/>
              </w:rPr>
              <w:t xml:space="preserve">2º Semestre </w:t>
            </w:r>
          </w:p>
        </w:tc>
      </w:tr>
      <w:tr w:rsidR="001130A7" w:rsidRPr="007C1440" w:rsidTr="001130A7">
        <w:tc>
          <w:tcPr>
            <w:tcW w:w="8644" w:type="dxa"/>
            <w:gridSpan w:val="4"/>
          </w:tcPr>
          <w:p w:rsidR="001130A7" w:rsidRPr="007C1440" w:rsidRDefault="00BB3296" w:rsidP="00BB3296">
            <w:pPr>
              <w:pStyle w:val="Default"/>
              <w:jc w:val="center"/>
              <w:rPr>
                <w:rFonts w:ascii="Lucida Sans" w:hAnsi="Lucida Sans"/>
              </w:rPr>
            </w:pPr>
            <w:r w:rsidRPr="007C1440">
              <w:rPr>
                <w:rFonts w:ascii="Lucida Sans" w:hAnsi="Lucida Sans"/>
                <w:b/>
                <w:bCs/>
              </w:rPr>
              <w:t xml:space="preserve">COMPETENCIAS QUE SE ADQUIEREN: </w:t>
            </w:r>
            <w:r w:rsidRPr="007C1440">
              <w:rPr>
                <w:rFonts w:ascii="Lucida Sans" w:hAnsi="Lucida Sans"/>
                <w:b/>
                <w:bCs/>
                <w:i/>
                <w:iCs/>
              </w:rPr>
              <w:t>(indicar código)</w:t>
            </w:r>
          </w:p>
        </w:tc>
      </w:tr>
      <w:tr w:rsidR="00BB3296" w:rsidRPr="007C1440" w:rsidTr="001D49E4">
        <w:tc>
          <w:tcPr>
            <w:tcW w:w="2161" w:type="dxa"/>
          </w:tcPr>
          <w:p w:rsidR="00BB3296" w:rsidRPr="007C1440" w:rsidRDefault="00BB3296" w:rsidP="00BB3296">
            <w:pPr>
              <w:pStyle w:val="Default"/>
              <w:jc w:val="both"/>
              <w:rPr>
                <w:rFonts w:ascii="Lucida Sans" w:hAnsi="Lucida Sans"/>
              </w:rPr>
            </w:pPr>
            <w:r w:rsidRPr="007C1440">
              <w:rPr>
                <w:rFonts w:ascii="Lucida Sans" w:hAnsi="Lucida Sans"/>
                <w:b/>
                <w:bCs/>
              </w:rPr>
              <w:t xml:space="preserve">Com. Básicas </w:t>
            </w:r>
          </w:p>
          <w:p w:rsidR="00BB3296" w:rsidRPr="007C1440" w:rsidRDefault="00BB3296" w:rsidP="00201FC7">
            <w:pPr>
              <w:jc w:val="both"/>
              <w:rPr>
                <w:rFonts w:ascii="Lucida Sans" w:hAnsi="Lucida Sans"/>
                <w:sz w:val="24"/>
                <w:szCs w:val="24"/>
              </w:rPr>
            </w:pPr>
          </w:p>
        </w:tc>
        <w:tc>
          <w:tcPr>
            <w:tcW w:w="2161" w:type="dxa"/>
          </w:tcPr>
          <w:p w:rsidR="00BB3296" w:rsidRPr="007C1440" w:rsidRDefault="00BB3296">
            <w:pPr>
              <w:pStyle w:val="Default"/>
              <w:rPr>
                <w:rFonts w:ascii="Lucida Sans" w:hAnsi="Lucida Sans"/>
              </w:rPr>
            </w:pPr>
            <w:r w:rsidRPr="007C1440">
              <w:rPr>
                <w:rFonts w:ascii="Lucida Sans" w:hAnsi="Lucida Sans"/>
                <w:b/>
                <w:bCs/>
              </w:rPr>
              <w:t xml:space="preserve">Com. Generales </w:t>
            </w:r>
          </w:p>
        </w:tc>
        <w:tc>
          <w:tcPr>
            <w:tcW w:w="2161" w:type="dxa"/>
          </w:tcPr>
          <w:p w:rsidR="00BB3296" w:rsidRPr="007C1440" w:rsidRDefault="00BB3296">
            <w:pPr>
              <w:pStyle w:val="Default"/>
              <w:rPr>
                <w:rFonts w:ascii="Lucida Sans" w:hAnsi="Lucida Sans"/>
              </w:rPr>
            </w:pPr>
            <w:r w:rsidRPr="007C1440">
              <w:rPr>
                <w:rFonts w:ascii="Lucida Sans" w:hAnsi="Lucida Sans"/>
                <w:b/>
                <w:bCs/>
              </w:rPr>
              <w:t xml:space="preserve">Com. Específicas </w:t>
            </w:r>
          </w:p>
        </w:tc>
        <w:tc>
          <w:tcPr>
            <w:tcW w:w="2161" w:type="dxa"/>
          </w:tcPr>
          <w:p w:rsidR="00BB3296" w:rsidRPr="007C1440" w:rsidRDefault="00BB3296">
            <w:pPr>
              <w:pStyle w:val="Default"/>
              <w:rPr>
                <w:rFonts w:ascii="Lucida Sans" w:hAnsi="Lucida Sans"/>
              </w:rPr>
            </w:pPr>
            <w:r w:rsidRPr="007C1440">
              <w:rPr>
                <w:rFonts w:ascii="Lucida Sans" w:hAnsi="Lucida Sans"/>
                <w:b/>
                <w:bCs/>
              </w:rPr>
              <w:t xml:space="preserve">Com. Transversales </w:t>
            </w:r>
          </w:p>
        </w:tc>
      </w:tr>
      <w:tr w:rsidR="00BB3296" w:rsidRPr="007C1440" w:rsidTr="001D49E4">
        <w:tc>
          <w:tcPr>
            <w:tcW w:w="2161" w:type="dxa"/>
          </w:tcPr>
          <w:p w:rsidR="00BB3296" w:rsidRPr="007C1440" w:rsidRDefault="00BB3296" w:rsidP="00201FC7">
            <w:pPr>
              <w:jc w:val="both"/>
              <w:rPr>
                <w:rFonts w:ascii="Lucida Sans" w:hAnsi="Lucida Sans"/>
                <w:sz w:val="24"/>
                <w:szCs w:val="24"/>
              </w:rPr>
            </w:pPr>
          </w:p>
        </w:tc>
        <w:tc>
          <w:tcPr>
            <w:tcW w:w="2161" w:type="dxa"/>
          </w:tcPr>
          <w:p w:rsidR="00BB3296" w:rsidRPr="007C1440" w:rsidRDefault="00BB3296" w:rsidP="00BB3296">
            <w:pPr>
              <w:jc w:val="center"/>
              <w:rPr>
                <w:rFonts w:ascii="Lucida Sans" w:hAnsi="Lucida Sans"/>
                <w:b/>
                <w:sz w:val="24"/>
                <w:szCs w:val="24"/>
              </w:rPr>
            </w:pPr>
            <w:r w:rsidRPr="007C1440">
              <w:rPr>
                <w:rFonts w:ascii="Lucida Sans" w:hAnsi="Lucida Sans"/>
                <w:b/>
                <w:sz w:val="24"/>
                <w:szCs w:val="24"/>
              </w:rPr>
              <w:t>CG4</w:t>
            </w:r>
          </w:p>
        </w:tc>
        <w:tc>
          <w:tcPr>
            <w:tcW w:w="2161" w:type="dxa"/>
          </w:tcPr>
          <w:p w:rsidR="00BB3296" w:rsidRPr="007C1440" w:rsidRDefault="00BB3296" w:rsidP="00201FC7">
            <w:pPr>
              <w:jc w:val="both"/>
              <w:rPr>
                <w:rFonts w:ascii="Lucida Sans" w:hAnsi="Lucida Sans"/>
                <w:b/>
                <w:sz w:val="24"/>
                <w:szCs w:val="24"/>
              </w:rPr>
            </w:pPr>
            <w:r w:rsidRPr="007C1440">
              <w:rPr>
                <w:rFonts w:ascii="Lucida Sans" w:hAnsi="Lucida Sans"/>
                <w:b/>
                <w:color w:val="222244"/>
                <w:sz w:val="24"/>
                <w:szCs w:val="24"/>
              </w:rPr>
              <w:t>CE11, CE12, CE13 y CE14</w:t>
            </w:r>
          </w:p>
        </w:tc>
        <w:tc>
          <w:tcPr>
            <w:tcW w:w="2161" w:type="dxa"/>
          </w:tcPr>
          <w:p w:rsidR="00BB3296" w:rsidRPr="007C1440" w:rsidRDefault="00BB3296" w:rsidP="00201FC7">
            <w:pPr>
              <w:jc w:val="both"/>
              <w:rPr>
                <w:rFonts w:ascii="Lucida Sans" w:hAnsi="Lucida Sans"/>
                <w:sz w:val="24"/>
                <w:szCs w:val="24"/>
              </w:rPr>
            </w:pPr>
          </w:p>
        </w:tc>
      </w:tr>
      <w:tr w:rsidR="00BB3296" w:rsidRPr="007C1440" w:rsidTr="001130A7">
        <w:tc>
          <w:tcPr>
            <w:tcW w:w="8644" w:type="dxa"/>
            <w:gridSpan w:val="4"/>
          </w:tcPr>
          <w:p w:rsidR="00BB3296" w:rsidRPr="007C1440" w:rsidRDefault="00BB3296">
            <w:pPr>
              <w:pStyle w:val="Default"/>
              <w:rPr>
                <w:rFonts w:ascii="Lucida Sans" w:hAnsi="Lucida Sans"/>
              </w:rPr>
            </w:pPr>
            <w:r w:rsidRPr="007C1440">
              <w:rPr>
                <w:rFonts w:ascii="Lucida Sans" w:hAnsi="Lucida Sans"/>
                <w:b/>
                <w:bCs/>
              </w:rPr>
              <w:t xml:space="preserve">REQUISITOS PREVIOS: </w:t>
            </w:r>
          </w:p>
        </w:tc>
      </w:tr>
      <w:tr w:rsidR="00BB3296" w:rsidRPr="007C1440" w:rsidTr="001130A7">
        <w:tc>
          <w:tcPr>
            <w:tcW w:w="8644" w:type="dxa"/>
            <w:gridSpan w:val="4"/>
          </w:tcPr>
          <w:p w:rsidR="00BB3296" w:rsidRPr="007C1440" w:rsidRDefault="00BB3296">
            <w:pPr>
              <w:pStyle w:val="Default"/>
              <w:rPr>
                <w:rFonts w:ascii="Lucida Sans" w:hAnsi="Lucida Sans"/>
              </w:rPr>
            </w:pPr>
            <w:r w:rsidRPr="007C1440">
              <w:rPr>
                <w:rFonts w:ascii="Lucida Sans" w:hAnsi="Lucida Sans"/>
              </w:rPr>
              <w:t xml:space="preserve">No se establecen, pero se recomienda haber aprobado las asignaturas del módulo 1 de Fundamentos del Conflicto y la Mediación </w:t>
            </w:r>
          </w:p>
        </w:tc>
      </w:tr>
      <w:tr w:rsidR="001130A7" w:rsidRPr="007C1440" w:rsidTr="001130A7">
        <w:tc>
          <w:tcPr>
            <w:tcW w:w="8644" w:type="dxa"/>
            <w:gridSpan w:val="4"/>
          </w:tcPr>
          <w:p w:rsidR="00BB3296" w:rsidRPr="007C1440" w:rsidRDefault="00BB3296" w:rsidP="00BB3296">
            <w:pPr>
              <w:pStyle w:val="Default"/>
              <w:jc w:val="both"/>
              <w:rPr>
                <w:rFonts w:ascii="Lucida Sans" w:hAnsi="Lucida Sans"/>
              </w:rPr>
            </w:pPr>
            <w:r w:rsidRPr="007C1440">
              <w:rPr>
                <w:rFonts w:ascii="Lucida Sans" w:hAnsi="Lucida Sans"/>
                <w:b/>
                <w:bCs/>
              </w:rPr>
              <w:t xml:space="preserve">BREVE DESCRIPCIÓN DE LOS CONTENIDOS: </w:t>
            </w:r>
          </w:p>
          <w:p w:rsidR="001130A7" w:rsidRPr="007C1440" w:rsidRDefault="001130A7" w:rsidP="00201FC7">
            <w:pPr>
              <w:jc w:val="both"/>
              <w:rPr>
                <w:rFonts w:ascii="Lucida Sans" w:hAnsi="Lucida Sans"/>
                <w:sz w:val="24"/>
                <w:szCs w:val="24"/>
              </w:rPr>
            </w:pPr>
          </w:p>
        </w:tc>
      </w:tr>
      <w:tr w:rsidR="001130A7" w:rsidRPr="007C1440" w:rsidTr="001130A7">
        <w:tc>
          <w:tcPr>
            <w:tcW w:w="8644" w:type="dxa"/>
            <w:gridSpan w:val="4"/>
          </w:tcPr>
          <w:p w:rsidR="001130A7" w:rsidRPr="007C1440" w:rsidRDefault="00BB3296" w:rsidP="00201FC7">
            <w:pPr>
              <w:jc w:val="both"/>
              <w:rPr>
                <w:rFonts w:ascii="Lucida Sans" w:hAnsi="Lucida Sans"/>
                <w:sz w:val="24"/>
                <w:szCs w:val="24"/>
              </w:rPr>
            </w:pPr>
            <w:r w:rsidRPr="007C1440">
              <w:rPr>
                <w:rFonts w:ascii="Lucida Sans" w:hAnsi="Lucida Sans"/>
                <w:sz w:val="24"/>
                <w:szCs w:val="24"/>
              </w:rPr>
              <w:t>1. Marco legal de la mediación penal</w:t>
            </w:r>
          </w:p>
          <w:p w:rsidR="00BB3296" w:rsidRPr="007C1440" w:rsidRDefault="00BB3296" w:rsidP="00201FC7">
            <w:pPr>
              <w:jc w:val="both"/>
              <w:rPr>
                <w:rFonts w:ascii="Lucida Sans" w:hAnsi="Lucida Sans"/>
                <w:sz w:val="24"/>
                <w:szCs w:val="24"/>
              </w:rPr>
            </w:pPr>
            <w:r w:rsidRPr="007C1440">
              <w:rPr>
                <w:rFonts w:ascii="Lucida Sans" w:hAnsi="Lucida Sans"/>
                <w:sz w:val="24"/>
                <w:szCs w:val="24"/>
              </w:rPr>
              <w:t xml:space="preserve">2. Características de la mediación penal </w:t>
            </w:r>
          </w:p>
          <w:p w:rsidR="001D49E4" w:rsidRPr="007C1440" w:rsidRDefault="001D49E4" w:rsidP="00201FC7">
            <w:pPr>
              <w:jc w:val="both"/>
              <w:rPr>
                <w:rFonts w:ascii="Lucida Sans" w:hAnsi="Lucida Sans"/>
                <w:sz w:val="24"/>
                <w:szCs w:val="24"/>
              </w:rPr>
            </w:pPr>
            <w:r w:rsidRPr="007C1440">
              <w:rPr>
                <w:rFonts w:ascii="Lucida Sans" w:hAnsi="Lucida Sans"/>
                <w:sz w:val="24"/>
                <w:szCs w:val="24"/>
              </w:rPr>
              <w:t>3. La mediación en el proceso penal español</w:t>
            </w:r>
          </w:p>
          <w:p w:rsidR="001D49E4" w:rsidRPr="007C1440" w:rsidRDefault="001D49E4" w:rsidP="00E20245">
            <w:pPr>
              <w:jc w:val="both"/>
              <w:rPr>
                <w:rFonts w:ascii="Lucida Sans" w:hAnsi="Lucida Sans"/>
                <w:sz w:val="24"/>
                <w:szCs w:val="24"/>
              </w:rPr>
            </w:pPr>
            <w:r w:rsidRPr="007C1440">
              <w:rPr>
                <w:rFonts w:ascii="Lucida Sans" w:hAnsi="Lucida Sans"/>
                <w:sz w:val="24"/>
                <w:szCs w:val="24"/>
              </w:rPr>
              <w:t xml:space="preserve">4. Consecuencias jurídicas de la </w:t>
            </w:r>
            <w:r w:rsidR="00E20245" w:rsidRPr="007C1440">
              <w:rPr>
                <w:rFonts w:ascii="Lucida Sans" w:hAnsi="Lucida Sans"/>
                <w:sz w:val="24"/>
                <w:szCs w:val="24"/>
              </w:rPr>
              <w:t>mediación durante el proceso y la ejecución</w:t>
            </w:r>
          </w:p>
          <w:p w:rsidR="00E20245" w:rsidRPr="007C1440" w:rsidRDefault="00E20245" w:rsidP="00E20245">
            <w:pPr>
              <w:jc w:val="both"/>
              <w:rPr>
                <w:rFonts w:ascii="Lucida Sans" w:hAnsi="Lucida Sans"/>
                <w:sz w:val="24"/>
                <w:szCs w:val="24"/>
              </w:rPr>
            </w:pPr>
            <w:r w:rsidRPr="007C1440">
              <w:rPr>
                <w:rFonts w:ascii="Lucida Sans" w:hAnsi="Lucida Sans"/>
                <w:sz w:val="24"/>
                <w:szCs w:val="24"/>
              </w:rPr>
              <w:t>5. Mediación en la justicia juvenil</w:t>
            </w:r>
          </w:p>
          <w:p w:rsidR="00E20245" w:rsidRPr="007C1440" w:rsidRDefault="00E20245" w:rsidP="00E20245">
            <w:pPr>
              <w:jc w:val="both"/>
              <w:rPr>
                <w:rFonts w:ascii="Lucida Sans" w:hAnsi="Lucida Sans"/>
                <w:sz w:val="24"/>
                <w:szCs w:val="24"/>
              </w:rPr>
            </w:pPr>
            <w:r w:rsidRPr="007C1440">
              <w:rPr>
                <w:rFonts w:ascii="Lucida Sans" w:hAnsi="Lucida Sans"/>
                <w:sz w:val="24"/>
                <w:szCs w:val="24"/>
              </w:rPr>
              <w:t>6. Mediación comunitaria y policial</w:t>
            </w:r>
          </w:p>
          <w:p w:rsidR="00E20245" w:rsidRPr="007C1440" w:rsidRDefault="00E20245" w:rsidP="00E20245">
            <w:pPr>
              <w:jc w:val="both"/>
              <w:rPr>
                <w:rFonts w:ascii="Lucida Sans" w:hAnsi="Lucida Sans"/>
                <w:sz w:val="24"/>
                <w:szCs w:val="24"/>
              </w:rPr>
            </w:pPr>
            <w:r w:rsidRPr="007C1440">
              <w:rPr>
                <w:rFonts w:ascii="Lucida Sans" w:hAnsi="Lucida Sans"/>
                <w:sz w:val="24"/>
                <w:szCs w:val="24"/>
              </w:rPr>
              <w:t>7. Experiencias de mediación penal en España</w:t>
            </w:r>
          </w:p>
        </w:tc>
      </w:tr>
      <w:tr w:rsidR="00BB3296" w:rsidRPr="007C1440" w:rsidTr="00BB3296">
        <w:tc>
          <w:tcPr>
            <w:tcW w:w="8644" w:type="dxa"/>
            <w:gridSpan w:val="4"/>
          </w:tcPr>
          <w:tbl>
            <w:tblPr>
              <w:tblW w:w="0" w:type="auto"/>
              <w:tblBorders>
                <w:top w:val="nil"/>
                <w:left w:val="nil"/>
                <w:bottom w:val="nil"/>
                <w:right w:val="nil"/>
              </w:tblBorders>
              <w:tblLook w:val="0000" w:firstRow="0" w:lastRow="0" w:firstColumn="0" w:lastColumn="0" w:noHBand="0" w:noVBand="0"/>
            </w:tblPr>
            <w:tblGrid>
              <w:gridCol w:w="8428"/>
            </w:tblGrid>
            <w:tr w:rsidR="00BB3296" w:rsidRPr="007C1440">
              <w:trPr>
                <w:trHeight w:val="99"/>
              </w:trPr>
              <w:tc>
                <w:tcPr>
                  <w:tcW w:w="0" w:type="auto"/>
                </w:tcPr>
                <w:p w:rsidR="00BB3296" w:rsidRPr="007C1440" w:rsidRDefault="00BB3296">
                  <w:pPr>
                    <w:pStyle w:val="Default"/>
                    <w:rPr>
                      <w:rFonts w:ascii="Lucida Sans" w:hAnsi="Lucida Sans"/>
                    </w:rPr>
                  </w:pPr>
                  <w:r w:rsidRPr="007C1440">
                    <w:rPr>
                      <w:rFonts w:ascii="Lucida Sans" w:hAnsi="Lucida Sans"/>
                      <w:b/>
                      <w:bCs/>
                    </w:rPr>
                    <w:t xml:space="preserve">RESULTADOS DE APRENDIZAJE: </w:t>
                  </w:r>
                </w:p>
              </w:tc>
            </w:tr>
            <w:tr w:rsidR="00BB3296" w:rsidRPr="007C1440">
              <w:trPr>
                <w:trHeight w:val="385"/>
              </w:trPr>
              <w:tc>
                <w:tcPr>
                  <w:tcW w:w="0" w:type="auto"/>
                </w:tcPr>
                <w:p w:rsidR="00BB3296" w:rsidRPr="007C1440" w:rsidRDefault="00BB3296">
                  <w:pPr>
                    <w:pStyle w:val="Default"/>
                    <w:rPr>
                      <w:rFonts w:ascii="Lucida Sans" w:hAnsi="Lucida Sans"/>
                    </w:rPr>
                  </w:pPr>
                  <w:r w:rsidRPr="007C1440">
                    <w:rPr>
                      <w:rFonts w:ascii="Lucida Sans" w:hAnsi="Lucida Sans"/>
                    </w:rPr>
                    <w:t>R1 Conocer los principios de la mediación penal</w:t>
                  </w:r>
                </w:p>
                <w:p w:rsidR="00BB3296" w:rsidRPr="007C1440" w:rsidRDefault="00BB3296" w:rsidP="00BB3296">
                  <w:pPr>
                    <w:pStyle w:val="Default"/>
                    <w:rPr>
                      <w:rFonts w:ascii="Lucida Sans" w:hAnsi="Lucida Sans"/>
                    </w:rPr>
                  </w:pPr>
                  <w:r w:rsidRPr="007C1440">
                    <w:rPr>
                      <w:rFonts w:ascii="Lucida Sans" w:hAnsi="Lucida Sans"/>
                    </w:rPr>
                    <w:t xml:space="preserve"> R2 Conocer el régimen jurídico básico y el proceso  de la mediación penal de menores</w:t>
                  </w:r>
                </w:p>
                <w:p w:rsidR="00BB3296" w:rsidRPr="007C1440" w:rsidRDefault="00BB3296" w:rsidP="00BB3296">
                  <w:pPr>
                    <w:pStyle w:val="Default"/>
                    <w:rPr>
                      <w:rFonts w:ascii="Lucida Sans" w:hAnsi="Lucida Sans"/>
                    </w:rPr>
                  </w:pPr>
                  <w:r w:rsidRPr="007C1440">
                    <w:rPr>
                      <w:rFonts w:ascii="Lucida Sans" w:hAnsi="Lucida Sans"/>
                    </w:rPr>
                    <w:t xml:space="preserve">R3 Conocer el régimen jurídico básico y el proceso de la mediación penal de adultos </w:t>
                  </w:r>
                </w:p>
              </w:tc>
            </w:tr>
            <w:tr w:rsidR="00BB3296" w:rsidRPr="007C1440">
              <w:trPr>
                <w:trHeight w:val="99"/>
              </w:trPr>
              <w:tc>
                <w:tcPr>
                  <w:tcW w:w="0" w:type="auto"/>
                </w:tcPr>
                <w:p w:rsidR="00BB3296" w:rsidRPr="007C1440" w:rsidRDefault="00BB3296">
                  <w:pPr>
                    <w:pStyle w:val="Default"/>
                    <w:rPr>
                      <w:rFonts w:ascii="Lucida Sans" w:hAnsi="Lucida Sans"/>
                    </w:rPr>
                  </w:pPr>
                </w:p>
              </w:tc>
            </w:tr>
          </w:tbl>
          <w:p w:rsidR="00BB3296" w:rsidRPr="007C1440" w:rsidRDefault="00BB3296" w:rsidP="00201FC7">
            <w:pPr>
              <w:jc w:val="both"/>
              <w:rPr>
                <w:rFonts w:ascii="Lucida Sans" w:hAnsi="Lucida Sans"/>
                <w:sz w:val="24"/>
                <w:szCs w:val="24"/>
              </w:rPr>
            </w:pPr>
          </w:p>
        </w:tc>
      </w:tr>
      <w:tr w:rsidR="00BB3296" w:rsidRPr="007C1440" w:rsidTr="00BB3296">
        <w:tc>
          <w:tcPr>
            <w:tcW w:w="8644" w:type="dxa"/>
            <w:gridSpan w:val="4"/>
          </w:tcPr>
          <w:p w:rsidR="00BB3296" w:rsidRPr="007C1440" w:rsidRDefault="00E20245" w:rsidP="00201FC7">
            <w:pPr>
              <w:jc w:val="both"/>
              <w:rPr>
                <w:rFonts w:ascii="Lucida Sans" w:hAnsi="Lucida Sans"/>
                <w:sz w:val="24"/>
                <w:szCs w:val="24"/>
              </w:rPr>
            </w:pPr>
            <w:r w:rsidRPr="007C1440">
              <w:rPr>
                <w:rFonts w:ascii="Lucida Sans" w:hAnsi="Lucida Sans"/>
                <w:b/>
                <w:bCs/>
                <w:sz w:val="24"/>
                <w:szCs w:val="24"/>
              </w:rPr>
              <w:t>OBSERVACIONES:</w:t>
            </w:r>
          </w:p>
        </w:tc>
      </w:tr>
    </w:tbl>
    <w:p w:rsidR="00BB3296" w:rsidRDefault="00BB3296" w:rsidP="00201FC7">
      <w:pPr>
        <w:jc w:val="both"/>
      </w:pPr>
    </w:p>
    <w:sectPr w:rsidR="00BB3296" w:rsidSect="00F446EA">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7D0" w:rsidRDefault="002777D0" w:rsidP="007C1440">
      <w:pPr>
        <w:spacing w:after="0" w:line="240" w:lineRule="auto"/>
      </w:pPr>
      <w:r>
        <w:separator/>
      </w:r>
    </w:p>
  </w:endnote>
  <w:endnote w:type="continuationSeparator" w:id="0">
    <w:p w:rsidR="002777D0" w:rsidRDefault="002777D0" w:rsidP="007C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986"/>
      <w:docPartObj>
        <w:docPartGallery w:val="Page Numbers (Bottom of Page)"/>
        <w:docPartUnique/>
      </w:docPartObj>
    </w:sdtPr>
    <w:sdtEndPr/>
    <w:sdtContent>
      <w:p w:rsidR="007C1440" w:rsidRDefault="002777D0">
        <w:pPr>
          <w:pStyle w:val="Piedepgina"/>
          <w:jc w:val="center"/>
        </w:pPr>
        <w:r>
          <w:fldChar w:fldCharType="begin"/>
        </w:r>
        <w:r>
          <w:instrText xml:space="preserve"> PAGE   \* MERGEFORMAT </w:instrText>
        </w:r>
        <w:r>
          <w:fldChar w:fldCharType="separate"/>
        </w:r>
        <w:r w:rsidR="00730C22">
          <w:rPr>
            <w:noProof/>
          </w:rPr>
          <w:t>1</w:t>
        </w:r>
        <w:r>
          <w:rPr>
            <w:noProof/>
          </w:rPr>
          <w:fldChar w:fldCharType="end"/>
        </w:r>
      </w:p>
    </w:sdtContent>
  </w:sdt>
  <w:p w:rsidR="007C1440" w:rsidRDefault="007C144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7D0" w:rsidRDefault="002777D0" w:rsidP="007C1440">
      <w:pPr>
        <w:spacing w:after="0" w:line="240" w:lineRule="auto"/>
      </w:pPr>
      <w:r>
        <w:separator/>
      </w:r>
    </w:p>
  </w:footnote>
  <w:footnote w:type="continuationSeparator" w:id="0">
    <w:p w:rsidR="002777D0" w:rsidRDefault="002777D0" w:rsidP="007C14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1B"/>
    <w:rsid w:val="001130A7"/>
    <w:rsid w:val="0015258A"/>
    <w:rsid w:val="001D49E4"/>
    <w:rsid w:val="00201FC7"/>
    <w:rsid w:val="002777D0"/>
    <w:rsid w:val="005502C7"/>
    <w:rsid w:val="0060744E"/>
    <w:rsid w:val="00730C22"/>
    <w:rsid w:val="00776F19"/>
    <w:rsid w:val="007C1440"/>
    <w:rsid w:val="008D3946"/>
    <w:rsid w:val="00991F1B"/>
    <w:rsid w:val="009D26AF"/>
    <w:rsid w:val="00A156A7"/>
    <w:rsid w:val="00BB3296"/>
    <w:rsid w:val="00E20245"/>
    <w:rsid w:val="00E924F6"/>
    <w:rsid w:val="00EE7CE7"/>
    <w:rsid w:val="00F446EA"/>
    <w:rsid w:val="00F850DC"/>
    <w:rsid w:val="00FE6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91F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924F6"/>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11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FE6B2E"/>
  </w:style>
  <w:style w:type="paragraph" w:styleId="Encabezado">
    <w:name w:val="header"/>
    <w:basedOn w:val="Normal"/>
    <w:link w:val="EncabezadoCar"/>
    <w:uiPriority w:val="99"/>
    <w:unhideWhenUsed/>
    <w:rsid w:val="007C1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C1440"/>
  </w:style>
  <w:style w:type="paragraph" w:styleId="Piedepgina">
    <w:name w:val="footer"/>
    <w:basedOn w:val="Normal"/>
    <w:link w:val="PiedepginaCar"/>
    <w:uiPriority w:val="99"/>
    <w:unhideWhenUsed/>
    <w:rsid w:val="007C1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1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91F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924F6"/>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11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FE6B2E"/>
  </w:style>
  <w:style w:type="paragraph" w:styleId="Encabezado">
    <w:name w:val="header"/>
    <w:basedOn w:val="Normal"/>
    <w:link w:val="EncabezadoCar"/>
    <w:uiPriority w:val="99"/>
    <w:unhideWhenUsed/>
    <w:rsid w:val="007C1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C1440"/>
  </w:style>
  <w:style w:type="paragraph" w:styleId="Piedepgina">
    <w:name w:val="footer"/>
    <w:basedOn w:val="Normal"/>
    <w:link w:val="PiedepginaCar"/>
    <w:uiPriority w:val="99"/>
    <w:unhideWhenUsed/>
    <w:rsid w:val="007C1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1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180291">
      <w:bodyDiv w:val="1"/>
      <w:marLeft w:val="0"/>
      <w:marRight w:val="0"/>
      <w:marTop w:val="0"/>
      <w:marBottom w:val="0"/>
      <w:divBdr>
        <w:top w:val="none" w:sz="0" w:space="0" w:color="auto"/>
        <w:left w:val="none" w:sz="0" w:space="0" w:color="auto"/>
        <w:bottom w:val="none" w:sz="0" w:space="0" w:color="auto"/>
        <w:right w:val="none" w:sz="0" w:space="0" w:color="auto"/>
      </w:divBdr>
    </w:div>
    <w:div w:id="1360400307">
      <w:bodyDiv w:val="1"/>
      <w:marLeft w:val="0"/>
      <w:marRight w:val="0"/>
      <w:marTop w:val="0"/>
      <w:marBottom w:val="0"/>
      <w:divBdr>
        <w:top w:val="none" w:sz="0" w:space="0" w:color="auto"/>
        <w:left w:val="none" w:sz="0" w:space="0" w:color="auto"/>
        <w:bottom w:val="none" w:sz="0" w:space="0" w:color="auto"/>
        <w:right w:val="none" w:sz="0" w:space="0" w:color="auto"/>
      </w:divBdr>
    </w:div>
    <w:div w:id="160518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994</Words>
  <Characters>5473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Blanca Romero</cp:lastModifiedBy>
  <cp:revision>2</cp:revision>
  <dcterms:created xsi:type="dcterms:W3CDTF">2013-01-26T11:52:00Z</dcterms:created>
  <dcterms:modified xsi:type="dcterms:W3CDTF">2013-01-26T11:52:00Z</dcterms:modified>
</cp:coreProperties>
</file>